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ZK2 2023 6 vom 16. November 2023</w:t>
      </w:r>
    </w:p>
    <w:p>
      <w:r>
        <w:t>SZ Gerichte, 2023-11-16, DE</w:t>
      </w:r>
    </w:p>
    <w:p>
      <w:r>
        <w:rPr>
          <w:b/>
        </w:rPr>
        <w:t xml:space="preserve">Quelle: </w:t>
      </w:r>
      <w:r>
        <w:t>https://mcp.opencaselaw.ch/entscheid/sz_gerichte_ZK2 2023 6</w:t>
      </w:r>
    </w:p>
    <w:p>
      <w:r>
        <w:t>FR: SZ_GERICHTE ZK2 2023 6 du 16 novembre 2023</w:t>
      </w:r>
    </w:p>
    <w:p>
      <w:r>
        <w:t>IT: SZ_GERICHTE ZK2 2023 6 del 16 novembre 2023</w:t>
      </w:r>
    </w:p>
    <w:p>
      <w:pPr>
        <w:pStyle w:val="Heading2"/>
      </w:pPr>
      <w:r>
        <w:t>Regeste</w:t>
      </w:r>
    </w:p>
    <w:p>
      <w:r>
        <w:t>Kostenbeschwerde | Kosten- und Entschädigungsfolgen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C.________ AG , Beklagte und Beschwerdegegnerin,</w:t>
      </w:r>
    </w:p>
    <w:p>
      <w:r>
        <w:rPr>
          <w:b/>
        </w:rPr>
        <w:t>E. 2</w:t>
      </w:r>
    </w:p>
    <w:p>
      <w:r>
        <w:t>D.________ , Beklagter und Beschwerdegegner, beide vertreten durch Rechtsanwalt E.________, \n \n \n betreffend \n negative Feststellungsklage nach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